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5"/>
        <w:gridCol w:w="2268"/>
        <w:gridCol w:w="1985"/>
        <w:gridCol w:w="2352"/>
      </w:tblGrid>
      <w:tr w:rsidR="002B16FA" w14:paraId="22F50179" w14:textId="77777777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201D7F0C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269FA995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 xml:space="preserve">Food Safety for Squirrels </w:t>
            </w:r>
          </w:p>
          <w:p w14:paraId="563971C6" w14:textId="77777777" w:rsidR="002B16FA" w:rsidRDefault="002B16FA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</w:p>
          <w:p w14:paraId="74CE9F0E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(Early Years Advise)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35B8CC08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0D7810C6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Any setting where food is consumed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52282271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68BE30D3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January 2026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363FE72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0E25358E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Alex Windows</w:t>
            </w:r>
          </w:p>
          <w:p w14:paraId="44844FC5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(Section Leader – Scouts)</w:t>
            </w:r>
          </w:p>
        </w:tc>
      </w:tr>
      <w:tr w:rsidR="002B16FA" w14:paraId="5A9BAFC1" w14:textId="77777777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2C464EAF" w14:textId="77777777" w:rsidR="002B16FA" w:rsidRDefault="002B16FA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20454D3E" w14:textId="77777777" w:rsidR="002B16FA" w:rsidRDefault="002B16FA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1DB109CF" w14:textId="77777777" w:rsidR="002B16FA" w:rsidRDefault="002B16FA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2BD20C36" w14:textId="77777777" w:rsidR="002B16FA" w:rsidRDefault="002B16FA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14:paraId="342B4E6E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7C6CB17E" w14:textId="52A75AEE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January 202</w:t>
            </w:r>
            <w:r w:rsidR="00546F20">
              <w:rPr>
                <w:rFonts w:ascii="Nunito Sans" w:eastAsia="Calibri" w:hAnsi="Nunito Sans" w:cs="Arial"/>
                <w:color w:val="FF0000"/>
              </w:rPr>
              <w:t>8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0E21F50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2DD839AC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Sarah Phillips</w:t>
            </w:r>
          </w:p>
          <w:p w14:paraId="5B294DD4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(Section Leader – Squirrels)</w:t>
            </w:r>
          </w:p>
        </w:tc>
      </w:tr>
    </w:tbl>
    <w:p w14:paraId="21B274FA" w14:textId="77777777" w:rsidR="002B16FA" w:rsidRDefault="002B16FA">
      <w:pPr>
        <w:rPr>
          <w:rFonts w:ascii="Nunito Sans" w:hAnsi="Nunito Sans" w:cs="Arial"/>
          <w:color w:val="7414DC"/>
        </w:rPr>
      </w:pPr>
    </w:p>
    <w:p w14:paraId="563E69F2" w14:textId="77777777" w:rsidR="002B16FA" w:rsidRDefault="005D5C85">
      <w:pPr>
        <w:rPr>
          <w:rFonts w:ascii="Nunito Sans" w:hAnsi="Nunito Sans" w:cs="Arial"/>
          <w:color w:val="7414DC"/>
        </w:rPr>
      </w:pPr>
      <w:r>
        <w:rPr>
          <w:rFonts w:ascii="Nunito Sans" w:hAnsi="Nunito Sans" w:cs="Arial"/>
          <w:color w:val="7414DC"/>
        </w:rPr>
        <w:t xml:space="preserve">Advise and information taken from Department of Education Early Years Providers Food Safety information - </w:t>
      </w:r>
      <w:hyperlink r:id="rId7">
        <w:r>
          <w:rPr>
            <w:rStyle w:val="Hyperlink"/>
            <w:rFonts w:ascii="Nunito Sans" w:hAnsi="Nunito Sans" w:cs="Arial"/>
          </w:rPr>
          <w:t>https://help-for-early-years-providers.education.gov.uk/health-and-wellbeing/food-safety</w:t>
        </w:r>
      </w:hyperlink>
      <w:r>
        <w:rPr>
          <w:rFonts w:ascii="Nunito Sans" w:hAnsi="Nunito Sans" w:cs="Arial"/>
          <w:color w:val="7414DC"/>
        </w:rPr>
        <w:t xml:space="preserve"> </w:t>
      </w:r>
    </w:p>
    <w:p w14:paraId="66C0C433" w14:textId="2AF4E30A" w:rsidR="002B16FA" w:rsidRDefault="005D5C85">
      <w:pPr>
        <w:rPr>
          <w:rFonts w:ascii="Nunito Sans" w:hAnsi="Nunito Sans" w:cs="Arial"/>
          <w:color w:val="7414DC"/>
        </w:rPr>
      </w:pPr>
      <w:r>
        <w:rPr>
          <w:rFonts w:ascii="Nunito Sans" w:hAnsi="Nunito Sans" w:cs="Arial"/>
          <w:color w:val="7414DC"/>
        </w:rPr>
        <w:t xml:space="preserve">Foundations Years Food safety advice on choking hazards in settings - </w:t>
      </w:r>
      <w:hyperlink r:id="rId8">
        <w:r>
          <w:rPr>
            <w:rStyle w:val="Hyperlink"/>
            <w:rFonts w:ascii="Nunito Sans" w:hAnsi="Nunito Sans" w:cs="Arial"/>
          </w:rPr>
          <w:t>https://www.foundationyears.org.uk/2021/09/food-safety-advice-on-choking-hazards-in-settings/</w:t>
        </w:r>
      </w:hyperlink>
      <w:r>
        <w:rPr>
          <w:rFonts w:ascii="Nunito Sans" w:hAnsi="Nunito Sans" w:cs="Arial"/>
          <w:color w:val="7414DC"/>
        </w:rPr>
        <w:t xml:space="preserve"> </w:t>
      </w:r>
    </w:p>
    <w:tbl>
      <w:tblPr>
        <w:tblStyle w:val="TableGrid"/>
        <w:tblW w:w="15355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2659"/>
        <w:gridCol w:w="2700"/>
        <w:gridCol w:w="2400"/>
        <w:gridCol w:w="7596"/>
      </w:tblGrid>
      <w:tr w:rsidR="002B16FA" w14:paraId="2ACE4E44" w14:textId="77777777">
        <w:trPr>
          <w:trHeight w:val="512"/>
          <w:tblHeader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14:paraId="0C33BDE9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are the hazards?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38093DE8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are the risks?</w:t>
            </w:r>
          </w:p>
        </w:tc>
        <w:tc>
          <w:tcPr>
            <w:tcW w:w="2400" w:type="dxa"/>
            <w:shd w:val="clear" w:color="auto" w:fill="BFBFBF" w:themeFill="background1" w:themeFillShade="BF"/>
            <w:vAlign w:val="center"/>
          </w:tcPr>
          <w:p w14:paraId="5598B1D7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Who is most at risk?</w:t>
            </w:r>
          </w:p>
        </w:tc>
        <w:tc>
          <w:tcPr>
            <w:tcW w:w="7596" w:type="dxa"/>
            <w:shd w:val="clear" w:color="auto" w:fill="BFBFBF" w:themeFill="background1" w:themeFillShade="BF"/>
            <w:vAlign w:val="center"/>
          </w:tcPr>
          <w:p w14:paraId="5DEB66A9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control measures will be put in place?</w:t>
            </w:r>
          </w:p>
        </w:tc>
      </w:tr>
      <w:tr w:rsidR="002B16FA" w14:paraId="3B48C034" w14:textId="77777777">
        <w:tc>
          <w:tcPr>
            <w:tcW w:w="2659" w:type="dxa"/>
            <w:vAlign w:val="center"/>
          </w:tcPr>
          <w:p w14:paraId="479D5D9F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Supervision</w:t>
            </w:r>
          </w:p>
        </w:tc>
        <w:tc>
          <w:tcPr>
            <w:tcW w:w="2700" w:type="dxa"/>
            <w:vAlign w:val="center"/>
          </w:tcPr>
          <w:p w14:paraId="7B1D6B35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Choking</w:t>
            </w:r>
          </w:p>
        </w:tc>
        <w:tc>
          <w:tcPr>
            <w:tcW w:w="2400" w:type="dxa"/>
            <w:vAlign w:val="center"/>
          </w:tcPr>
          <w:p w14:paraId="32A6D747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Squirrels under 5 years.</w:t>
            </w:r>
          </w:p>
        </w:tc>
        <w:tc>
          <w:tcPr>
            <w:tcW w:w="7596" w:type="dxa"/>
            <w:vAlign w:val="center"/>
          </w:tcPr>
          <w:p w14:paraId="459D7E8F" w14:textId="77777777" w:rsidR="002B16FA" w:rsidRDefault="005D5C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that children are adequately supervised, including whilst eating.</w:t>
            </w:r>
          </w:p>
          <w:p w14:paraId="460CFD87" w14:textId="77777777" w:rsidR="002B16FA" w:rsidRDefault="005D5C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Where possible, young people should be seated while eating.</w:t>
            </w:r>
          </w:p>
          <w:p w14:paraId="7B670C1D" w14:textId="77777777" w:rsidR="002B16FA" w:rsidRDefault="005D5C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hot food is adequately cooled before being given to Squirrels.</w:t>
            </w:r>
          </w:p>
        </w:tc>
      </w:tr>
      <w:tr w:rsidR="002B16FA" w14:paraId="4F51DFBA" w14:textId="77777777">
        <w:tc>
          <w:tcPr>
            <w:tcW w:w="2659" w:type="dxa"/>
            <w:vAlign w:val="center"/>
          </w:tcPr>
          <w:p w14:paraId="7102548B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Chocking</w:t>
            </w:r>
          </w:p>
        </w:tc>
        <w:tc>
          <w:tcPr>
            <w:tcW w:w="2700" w:type="dxa"/>
            <w:vAlign w:val="center"/>
          </w:tcPr>
          <w:p w14:paraId="0172478B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Suffocation</w:t>
            </w:r>
          </w:p>
        </w:tc>
        <w:tc>
          <w:tcPr>
            <w:tcW w:w="2400" w:type="dxa"/>
            <w:vAlign w:val="center"/>
          </w:tcPr>
          <w:p w14:paraId="182F5A78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Squirrels under 5 years.</w:t>
            </w:r>
          </w:p>
        </w:tc>
        <w:tc>
          <w:tcPr>
            <w:tcW w:w="7596" w:type="dxa"/>
            <w:vAlign w:val="center"/>
          </w:tcPr>
          <w:p w14:paraId="6BAE5F32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Food preparation methods to reduce the risk of choking:</w:t>
            </w:r>
          </w:p>
          <w:p w14:paraId="1B86EFF3" w14:textId="13826B79" w:rsidR="002B16FA" w:rsidRDefault="005D5C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Remove any stones and pips from fruit before serving</w:t>
            </w:r>
            <w:r w:rsidR="005E74D8">
              <w:rPr>
                <w:rFonts w:ascii="Nunito Sans" w:eastAsia="Calibri" w:hAnsi="Nunito Sans" w:cs="Arial"/>
              </w:rPr>
              <w:t>.</w:t>
            </w:r>
          </w:p>
          <w:p w14:paraId="22AFF301" w14:textId="5DFB79F4" w:rsidR="002B16FA" w:rsidRDefault="005D5C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Cut small round foods, like grapes, strawberries and cherry tomatoes, lengthways and into quarters</w:t>
            </w:r>
            <w:r w:rsidR="005E74D8">
              <w:rPr>
                <w:rFonts w:ascii="Nunito Sans" w:eastAsia="Calibri" w:hAnsi="Nunito Sans" w:cs="Arial"/>
              </w:rPr>
              <w:t>.</w:t>
            </w:r>
          </w:p>
          <w:p w14:paraId="530A29E8" w14:textId="77777777" w:rsidR="002B16FA" w:rsidRDefault="005D5C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Cut large fruits like melon, and hard fruit or vegetables like raw apple and carrot into slices instead of small chunks</w:t>
            </w:r>
          </w:p>
          <w:p w14:paraId="47F67A21" w14:textId="365B5213" w:rsidR="002B16FA" w:rsidRDefault="005D5C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Soften hard fruit and vegetables (such as </w:t>
            </w:r>
            <w:r w:rsidR="005E74D8">
              <w:rPr>
                <w:rFonts w:ascii="Nunito Sans" w:eastAsia="Calibri" w:hAnsi="Nunito Sans" w:cs="Arial"/>
              </w:rPr>
              <w:t>carrots</w:t>
            </w:r>
            <w:r>
              <w:rPr>
                <w:rFonts w:ascii="Nunito Sans" w:eastAsia="Calibri" w:hAnsi="Nunito Sans" w:cs="Arial"/>
              </w:rPr>
              <w:t xml:space="preserve"> and </w:t>
            </w:r>
            <w:r w:rsidR="005E74D8">
              <w:rPr>
                <w:rFonts w:ascii="Nunito Sans" w:eastAsia="Calibri" w:hAnsi="Nunito Sans" w:cs="Arial"/>
              </w:rPr>
              <w:t>apples</w:t>
            </w:r>
            <w:r>
              <w:rPr>
                <w:rFonts w:ascii="Nunito Sans" w:eastAsia="Calibri" w:hAnsi="Nunito Sans" w:cs="Arial"/>
              </w:rPr>
              <w:t>) and remove the skins when first given to babies from around 6 months</w:t>
            </w:r>
          </w:p>
          <w:p w14:paraId="55B81D74" w14:textId="21563756" w:rsidR="002B16FA" w:rsidRDefault="005D5C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Sausages should be avoided due to their high salt content, but if offered to children</w:t>
            </w:r>
            <w:r w:rsidR="005E74D8">
              <w:rPr>
                <w:rFonts w:ascii="Nunito Sans" w:eastAsia="Calibri" w:hAnsi="Nunito Sans" w:cs="Arial"/>
              </w:rPr>
              <w:t>,</w:t>
            </w:r>
            <w:r>
              <w:rPr>
                <w:rFonts w:ascii="Nunito Sans" w:eastAsia="Calibri" w:hAnsi="Nunito Sans" w:cs="Arial"/>
              </w:rPr>
              <w:t xml:space="preserve"> these should be cut into thin strips rather than chunks and the skins</w:t>
            </w:r>
            <w:r w:rsidR="005E74D8">
              <w:rPr>
                <w:rFonts w:ascii="Nunito Sans" w:eastAsia="Calibri" w:hAnsi="Nunito Sans" w:cs="Arial"/>
              </w:rPr>
              <w:t xml:space="preserve"> should be removed.</w:t>
            </w:r>
          </w:p>
          <w:p w14:paraId="134EC056" w14:textId="77777777" w:rsidR="002B16FA" w:rsidRDefault="005D5C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lastRenderedPageBreak/>
              <w:t>Remove bones from meat or fish</w:t>
            </w:r>
          </w:p>
          <w:p w14:paraId="4F356ADF" w14:textId="77777777" w:rsidR="002B16FA" w:rsidRDefault="005D5C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Cut cheese into strips rather than chunks</w:t>
            </w:r>
          </w:p>
        </w:tc>
      </w:tr>
      <w:tr w:rsidR="002B16FA" w14:paraId="3901707F" w14:textId="77777777">
        <w:trPr>
          <w:trHeight w:val="1631"/>
        </w:trPr>
        <w:tc>
          <w:tcPr>
            <w:tcW w:w="2659" w:type="dxa"/>
            <w:vAlign w:val="center"/>
          </w:tcPr>
          <w:p w14:paraId="1300BFEF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lastRenderedPageBreak/>
              <w:t>Choking</w:t>
            </w:r>
          </w:p>
        </w:tc>
        <w:tc>
          <w:tcPr>
            <w:tcW w:w="2700" w:type="dxa"/>
            <w:vAlign w:val="center"/>
          </w:tcPr>
          <w:p w14:paraId="1ECFF3BE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Suffocation</w:t>
            </w:r>
          </w:p>
        </w:tc>
        <w:tc>
          <w:tcPr>
            <w:tcW w:w="2400" w:type="dxa"/>
            <w:vAlign w:val="center"/>
          </w:tcPr>
          <w:p w14:paraId="2AC6712E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Squirrels under 5 years.</w:t>
            </w:r>
          </w:p>
        </w:tc>
        <w:tc>
          <w:tcPr>
            <w:tcW w:w="7596" w:type="dxa"/>
            <w:vAlign w:val="center"/>
          </w:tcPr>
          <w:p w14:paraId="19F0AB2F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Food not to be given to under 5 years:</w:t>
            </w:r>
          </w:p>
          <w:p w14:paraId="40E3E9C3" w14:textId="77777777" w:rsidR="002B16FA" w:rsidRDefault="005D5C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Do not give whole nuts to children under five years old</w:t>
            </w:r>
          </w:p>
          <w:p w14:paraId="028BC6D2" w14:textId="77777777" w:rsidR="002B16FA" w:rsidRDefault="005D5C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Do not offer raisins as a snack to children under 12 months – although these can be chopped up as part of a meal</w:t>
            </w:r>
          </w:p>
          <w:p w14:paraId="475705C2" w14:textId="77777777" w:rsidR="002B16FA" w:rsidRDefault="005D5C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Do not give whole seeds to children under five years old</w:t>
            </w:r>
          </w:p>
          <w:p w14:paraId="7084C868" w14:textId="77777777" w:rsidR="002B16FA" w:rsidRDefault="005D5C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Do not give popcorn as a snack</w:t>
            </w:r>
          </w:p>
          <w:p w14:paraId="310921F6" w14:textId="03959518" w:rsidR="002B16FA" w:rsidRDefault="005D5C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Do not give children marshmallows or jelly cubes from a packet either to eat or as part of messy play activities</w:t>
            </w:r>
            <w:r w:rsidR="005E74D8">
              <w:rPr>
                <w:rFonts w:ascii="Nunito Sans" w:eastAsia="Calibri" w:hAnsi="Nunito Sans" w:cs="Arial"/>
              </w:rPr>
              <w:t>,</w:t>
            </w:r>
            <w:r>
              <w:rPr>
                <w:rFonts w:ascii="Nunito Sans" w:eastAsia="Calibri" w:hAnsi="Nunito Sans" w:cs="Arial"/>
              </w:rPr>
              <w:t xml:space="preserve"> as they can get stuck in the throat</w:t>
            </w:r>
          </w:p>
          <w:p w14:paraId="4668AEA9" w14:textId="77777777" w:rsidR="002B16FA" w:rsidRDefault="005D5C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Do not give children hard sweets</w:t>
            </w:r>
          </w:p>
        </w:tc>
      </w:tr>
      <w:tr w:rsidR="002B16FA" w14:paraId="26279B16" w14:textId="77777777">
        <w:trPr>
          <w:trHeight w:val="1631"/>
        </w:trPr>
        <w:tc>
          <w:tcPr>
            <w:tcW w:w="2659" w:type="dxa"/>
            <w:tcBorders>
              <w:top w:val="nil"/>
            </w:tcBorders>
            <w:vAlign w:val="center"/>
          </w:tcPr>
          <w:p w14:paraId="07458F95" w14:textId="77777777" w:rsidR="002B16FA" w:rsidRDefault="005D5C85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Allergens</w:t>
            </w:r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12A1F9A2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Allergic reaction/anaphylaxis</w:t>
            </w:r>
          </w:p>
        </w:tc>
        <w:tc>
          <w:tcPr>
            <w:tcW w:w="2400" w:type="dxa"/>
            <w:tcBorders>
              <w:top w:val="nil"/>
            </w:tcBorders>
            <w:vAlign w:val="center"/>
          </w:tcPr>
          <w:p w14:paraId="6AF27FA9" w14:textId="77777777" w:rsidR="002B16FA" w:rsidRDefault="005D5C85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 participants</w:t>
            </w:r>
          </w:p>
        </w:tc>
        <w:tc>
          <w:tcPr>
            <w:tcW w:w="7596" w:type="dxa"/>
            <w:tcBorders>
              <w:top w:val="nil"/>
            </w:tcBorders>
            <w:vAlign w:val="center"/>
          </w:tcPr>
          <w:p w14:paraId="74185EFE" w14:textId="77777777" w:rsidR="002B16FA" w:rsidRDefault="005D5C85">
            <w:pPr>
              <w:numPr>
                <w:ilvl w:val="0"/>
                <w:numId w:val="4"/>
              </w:numPr>
              <w:spacing w:after="0" w:line="240" w:lineRule="auto"/>
              <w:rPr>
                <w:rFonts w:ascii="Nunito Sans" w:eastAsia="Calibri" w:hAnsi="Nunito Sans" w:cs="Arial"/>
              </w:rPr>
            </w:pPr>
            <w:r>
              <w:rPr>
                <w:rFonts w:ascii="Nunito Sans" w:eastAsia="Calibri" w:hAnsi="Nunito Sans" w:cs="Arial"/>
              </w:rPr>
              <w:t>Check OSM for any reported allergies.</w:t>
            </w:r>
          </w:p>
          <w:p w14:paraId="660125FD" w14:textId="77777777" w:rsidR="002B16FA" w:rsidRDefault="005D5C85">
            <w:pPr>
              <w:numPr>
                <w:ilvl w:val="0"/>
                <w:numId w:val="4"/>
              </w:numPr>
              <w:spacing w:after="0" w:line="240" w:lineRule="auto"/>
              <w:rPr>
                <w:rFonts w:ascii="Nunito Sans" w:eastAsia="Calibri" w:hAnsi="Nunito Sans" w:cs="Arial"/>
              </w:rPr>
            </w:pPr>
            <w:r>
              <w:rPr>
                <w:rFonts w:ascii="Nunito Sans" w:eastAsia="Calibri" w:hAnsi="Nunito Sans" w:cs="Arial"/>
              </w:rPr>
              <w:t>Ensure all leaders are aware of any participants with allergies and are aware of what to do in the event of a reaction.</w:t>
            </w:r>
          </w:p>
          <w:p w14:paraId="551B5485" w14:textId="77777777" w:rsidR="002B16FA" w:rsidRDefault="005D5C85">
            <w:pPr>
              <w:numPr>
                <w:ilvl w:val="0"/>
                <w:numId w:val="4"/>
              </w:numPr>
              <w:spacing w:after="0" w:line="240" w:lineRule="auto"/>
              <w:rPr>
                <w:rFonts w:ascii="Nunito Sans" w:eastAsia="Calibri" w:hAnsi="Nunito Sans" w:cs="Arial"/>
              </w:rPr>
            </w:pPr>
            <w:r>
              <w:rPr>
                <w:rFonts w:ascii="Nunito Sans" w:eastAsia="Calibri" w:hAnsi="Nunito Sans" w:cs="Arial"/>
              </w:rPr>
              <w:t>Ensure appropriate first aider/first responder on site for duration of activity</w:t>
            </w:r>
          </w:p>
          <w:p w14:paraId="14864497" w14:textId="5F7062D5" w:rsidR="002B16FA" w:rsidRDefault="005D5C85">
            <w:pPr>
              <w:numPr>
                <w:ilvl w:val="0"/>
                <w:numId w:val="4"/>
              </w:numPr>
              <w:spacing w:after="0" w:line="240" w:lineRule="auto"/>
              <w:rPr>
                <w:rFonts w:ascii="Nunito Sans" w:eastAsia="Calibri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Consult parents prior to </w:t>
            </w:r>
            <w:r w:rsidR="00FB398D">
              <w:rPr>
                <w:rFonts w:ascii="Nunito Sans" w:eastAsia="Calibri" w:hAnsi="Nunito Sans" w:cs="Arial"/>
              </w:rPr>
              <w:t>informing</w:t>
            </w:r>
            <w:r>
              <w:rPr>
                <w:rFonts w:ascii="Nunito Sans" w:eastAsia="Calibri" w:hAnsi="Nunito Sans" w:cs="Arial"/>
              </w:rPr>
              <w:t xml:space="preserve"> them of the involved foods and/or alternatives</w:t>
            </w:r>
          </w:p>
          <w:p w14:paraId="7E021943" w14:textId="29C13EB2" w:rsidR="002B16FA" w:rsidRDefault="005D5C85">
            <w:pPr>
              <w:numPr>
                <w:ilvl w:val="0"/>
                <w:numId w:val="5"/>
              </w:numPr>
              <w:spacing w:after="0" w:line="240" w:lineRule="auto"/>
              <w:rPr>
                <w:rFonts w:ascii="Nunito Sans" w:eastAsia="Calibri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Provide an </w:t>
            </w:r>
            <w:r w:rsidR="00FB398D">
              <w:rPr>
                <w:rFonts w:ascii="Nunito Sans" w:eastAsia="Calibri" w:hAnsi="Nunito Sans" w:cs="Arial"/>
              </w:rPr>
              <w:t>allergy-safe</w:t>
            </w:r>
            <w:r>
              <w:rPr>
                <w:rFonts w:ascii="Nunito Sans" w:eastAsia="Calibri" w:hAnsi="Nunito Sans" w:cs="Arial"/>
              </w:rPr>
              <w:t xml:space="preserve"> alternative if allergen ingredients are present.</w:t>
            </w:r>
          </w:p>
          <w:p w14:paraId="31901953" w14:textId="2D849F5A" w:rsidR="002B16FA" w:rsidRDefault="005D5C85">
            <w:pPr>
              <w:numPr>
                <w:ilvl w:val="0"/>
                <w:numId w:val="5"/>
              </w:numPr>
              <w:spacing w:after="0" w:line="240" w:lineRule="auto"/>
              <w:rPr>
                <w:rFonts w:ascii="Nunito Sans" w:eastAsia="Calibri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Ensure </w:t>
            </w:r>
            <w:r w:rsidR="00FB398D">
              <w:rPr>
                <w:rFonts w:ascii="Nunito Sans" w:eastAsia="Calibri" w:hAnsi="Nunito Sans" w:cs="Arial"/>
              </w:rPr>
              <w:t>allergy-safe</w:t>
            </w:r>
            <w:r>
              <w:rPr>
                <w:rFonts w:ascii="Nunito Sans" w:eastAsia="Calibri" w:hAnsi="Nunito Sans" w:cs="Arial"/>
              </w:rPr>
              <w:t xml:space="preserve"> food are kept and prepared </w:t>
            </w:r>
            <w:r w:rsidR="00394128">
              <w:rPr>
                <w:rFonts w:ascii="Nunito Sans" w:eastAsia="Calibri" w:hAnsi="Nunito Sans" w:cs="Arial"/>
              </w:rPr>
              <w:t>separately</w:t>
            </w:r>
            <w:r>
              <w:rPr>
                <w:rFonts w:ascii="Nunito Sans" w:eastAsia="Calibri" w:hAnsi="Nunito Sans" w:cs="Arial"/>
              </w:rPr>
              <w:t xml:space="preserve"> to ensure no </w:t>
            </w:r>
            <w:r w:rsidR="00FB398D">
              <w:rPr>
                <w:rFonts w:ascii="Nunito Sans" w:eastAsia="Calibri" w:hAnsi="Nunito Sans" w:cs="Arial"/>
              </w:rPr>
              <w:t>cross-contamination</w:t>
            </w:r>
            <w:r>
              <w:rPr>
                <w:rFonts w:ascii="Nunito Sans" w:eastAsia="Calibri" w:hAnsi="Nunito Sans" w:cs="Arial"/>
              </w:rPr>
              <w:t>.</w:t>
            </w:r>
          </w:p>
          <w:p w14:paraId="002853E8" w14:textId="77777777" w:rsidR="002B16FA" w:rsidRDefault="005D5C85">
            <w:pPr>
              <w:numPr>
                <w:ilvl w:val="0"/>
                <w:numId w:val="5"/>
              </w:numPr>
              <w:spacing w:after="0" w:line="240" w:lineRule="auto"/>
              <w:rPr>
                <w:rFonts w:ascii="Nunito Sans" w:eastAsia="Calibri" w:hAnsi="Nunito Sans" w:cs="Arial"/>
              </w:rPr>
            </w:pPr>
            <w:r>
              <w:rPr>
                <w:rFonts w:ascii="Nunito Sans" w:eastAsia="Calibri" w:hAnsi="Nunito Sans" w:cs="Arial"/>
              </w:rPr>
              <w:t>Avoid use of major allergens when necessary (becoming “nut-Free”)</w:t>
            </w:r>
          </w:p>
        </w:tc>
      </w:tr>
    </w:tbl>
    <w:p w14:paraId="5875707C" w14:textId="77777777" w:rsidR="002B16FA" w:rsidRDefault="002B16FA">
      <w:pPr>
        <w:rPr>
          <w:rFonts w:ascii="Nunito Sans" w:hAnsi="Nunito Sans" w:cs="Arial"/>
        </w:rPr>
      </w:pPr>
    </w:p>
    <w:sectPr w:rsidR="002B16FA">
      <w:headerReference w:type="default" r:id="rId9"/>
      <w:headerReference w:type="first" r:id="rId10"/>
      <w:pgSz w:w="16838" w:h="11906" w:orient="landscape"/>
      <w:pgMar w:top="765" w:right="720" w:bottom="720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F633" w14:textId="77777777" w:rsidR="007E05D3" w:rsidRDefault="007E05D3">
      <w:pPr>
        <w:spacing w:after="0" w:line="240" w:lineRule="auto"/>
      </w:pPr>
      <w:r>
        <w:separator/>
      </w:r>
    </w:p>
  </w:endnote>
  <w:endnote w:type="continuationSeparator" w:id="0">
    <w:p w14:paraId="6B4980FE" w14:textId="77777777" w:rsidR="007E05D3" w:rsidRDefault="007E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4E29" w14:textId="77777777" w:rsidR="007E05D3" w:rsidRDefault="007E05D3">
      <w:pPr>
        <w:spacing w:after="0" w:line="240" w:lineRule="auto"/>
      </w:pPr>
      <w:r>
        <w:separator/>
      </w:r>
    </w:p>
  </w:footnote>
  <w:footnote w:type="continuationSeparator" w:id="0">
    <w:p w14:paraId="22DF1D55" w14:textId="77777777" w:rsidR="007E05D3" w:rsidRDefault="007E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2A02" w14:textId="77777777" w:rsidR="002B16FA" w:rsidRPr="00394128" w:rsidRDefault="005D5C85">
    <w:pPr>
      <w:pStyle w:val="Header"/>
      <w:rPr>
        <w:rFonts w:ascii="Nunito Sans" w:hAnsi="Nunito Sans" w:cs="Arial"/>
        <w:sz w:val="24"/>
        <w:szCs w:val="24"/>
      </w:rPr>
    </w:pPr>
    <w:r w:rsidRPr="00394128">
      <w:rPr>
        <w:rFonts w:ascii="Nunito Sans" w:hAnsi="Nunito Sans"/>
        <w:noProof/>
      </w:rPr>
      <w:drawing>
        <wp:anchor distT="0" distB="0" distL="114300" distR="114300" simplePos="0" relativeHeight="251657216" behindDoc="0" locked="0" layoutInCell="0" allowOverlap="1" wp14:anchorId="1DA33CA1" wp14:editId="1A59A73C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0" b="0"/>
          <wp:wrapTight wrapText="bothSides">
            <wp:wrapPolygon edited="0">
              <wp:start x="1" y="0"/>
              <wp:lineTo x="1" y="21326"/>
              <wp:lineTo x="21507" y="21326"/>
              <wp:lineTo x="21507" y="0"/>
              <wp:lineTo x="1" y="0"/>
            </wp:wrapPolygon>
          </wp:wrapTight>
          <wp:docPr id="1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712" t="7410" r="7417" b="25176"/>
                  <a:stretch>
                    <a:fillRect/>
                  </a:stretch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94128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20820FC9" w14:textId="12D000CC" w:rsidR="002B16FA" w:rsidRPr="00394128" w:rsidRDefault="005D5C85" w:rsidP="00394128">
    <w:pPr>
      <w:pStyle w:val="Header"/>
      <w:rPr>
        <w:rFonts w:ascii="Nunito Sans" w:hAnsi="Nunito Sans" w:cs="Arial"/>
        <w:sz w:val="20"/>
        <w:szCs w:val="20"/>
      </w:rPr>
    </w:pPr>
    <w:r w:rsidRPr="00394128">
      <w:rPr>
        <w:rFonts w:ascii="Nunito Sans" w:hAnsi="Nunito Sans" w:cs="Arial"/>
      </w:rPr>
      <w:t>All Risk Assessments are undertaken in accordance with the Scout Association’s Safety Policy.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0F14" w14:textId="77777777" w:rsidR="002B16FA" w:rsidRDefault="005D5C85">
    <w:pPr>
      <w:pStyle w:val="Head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7C716BDB" wp14:editId="2643A034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0" b="0"/>
          <wp:wrapTight wrapText="bothSides">
            <wp:wrapPolygon edited="0">
              <wp:start x="1" y="0"/>
              <wp:lineTo x="1" y="21326"/>
              <wp:lineTo x="21507" y="21326"/>
              <wp:lineTo x="21507" y="0"/>
              <wp:lineTo x="1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712" t="7410" r="7417" b="25176"/>
                  <a:stretch>
                    <a:fillRect/>
                  </a:stretch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7414DC"/>
        <w:sz w:val="36"/>
        <w:szCs w:val="36"/>
      </w:rPr>
      <w:t>Risk Assessment</w:t>
    </w:r>
  </w:p>
  <w:p w14:paraId="33CB3A33" w14:textId="77777777" w:rsidR="002B16FA" w:rsidRDefault="005D5C85">
    <w:pPr>
      <w:pStyle w:val="Header"/>
      <w:rPr>
        <w:rFonts w:ascii="Arial" w:hAnsi="Arial" w:cs="Arial"/>
      </w:rPr>
    </w:pPr>
    <w:r>
      <w:rPr>
        <w:rFonts w:ascii="Arial" w:hAnsi="Arial" w:cs="Arial"/>
      </w:rPr>
      <w:t>All Risk Assessments are undertaken in accordance with the Group and Scout Association’s Safety Policy.</w:t>
    </w:r>
  </w:p>
  <w:p w14:paraId="16847864" w14:textId="77777777" w:rsidR="002B16FA" w:rsidRDefault="005D5C85">
    <w:pPr>
      <w:pStyle w:val="Header"/>
      <w:spacing w:after="240"/>
      <w:rPr>
        <w:rFonts w:ascii="Arial" w:hAnsi="Arial" w:cs="Arial"/>
        <w:sz w:val="20"/>
        <w:szCs w:val="20"/>
      </w:rPr>
    </w:pPr>
    <w:hyperlink r:id="rId2">
      <w:r>
        <w:rPr>
          <w:rStyle w:val="Hyperlink"/>
          <w:rFonts w:ascii="Arial" w:hAnsi="Arial" w:cs="Arial"/>
          <w:sz w:val="20"/>
          <w:szCs w:val="20"/>
        </w:rPr>
        <w:t>4thstaffordscouts.org.uk/compliance/safety-procedures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744"/>
    <w:multiLevelType w:val="multilevel"/>
    <w:tmpl w:val="C61C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155348B9"/>
    <w:multiLevelType w:val="multilevel"/>
    <w:tmpl w:val="6C92B3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696C1E"/>
    <w:multiLevelType w:val="multilevel"/>
    <w:tmpl w:val="13F27D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F061F7"/>
    <w:multiLevelType w:val="multilevel"/>
    <w:tmpl w:val="F2C0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5C5163D3"/>
    <w:multiLevelType w:val="multilevel"/>
    <w:tmpl w:val="ADCCEF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436345"/>
    <w:multiLevelType w:val="multilevel"/>
    <w:tmpl w:val="274C05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0951535">
    <w:abstractNumId w:val="1"/>
  </w:num>
  <w:num w:numId="2" w16cid:durableId="254171138">
    <w:abstractNumId w:val="2"/>
  </w:num>
  <w:num w:numId="3" w16cid:durableId="1401899706">
    <w:abstractNumId w:val="4"/>
  </w:num>
  <w:num w:numId="4" w16cid:durableId="575478116">
    <w:abstractNumId w:val="0"/>
  </w:num>
  <w:num w:numId="5" w16cid:durableId="858736998">
    <w:abstractNumId w:val="3"/>
  </w:num>
  <w:num w:numId="6" w16cid:durableId="462426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kwqgUAxtBhrywAAAA="/>
  </w:docVars>
  <w:rsids>
    <w:rsidRoot w:val="002B16FA"/>
    <w:rsid w:val="002B16FA"/>
    <w:rsid w:val="00394128"/>
    <w:rsid w:val="003C4D4C"/>
    <w:rsid w:val="00546F20"/>
    <w:rsid w:val="005D5C85"/>
    <w:rsid w:val="005E74D8"/>
    <w:rsid w:val="007E05D3"/>
    <w:rsid w:val="00A06936"/>
    <w:rsid w:val="00B14993"/>
    <w:rsid w:val="00B640E5"/>
    <w:rsid w:val="00F936E5"/>
    <w:rsid w:val="00FB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A2E2"/>
  <w15:docId w15:val="{D6E07331-97C9-451A-B915-2358EAC3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14D51"/>
  </w:style>
  <w:style w:type="character" w:customStyle="1" w:styleId="FooterChar">
    <w:name w:val="Footer Char"/>
    <w:basedOn w:val="DefaultParagraphFont"/>
    <w:link w:val="Footer"/>
    <w:uiPriority w:val="99"/>
    <w:qFormat/>
    <w:rsid w:val="00314D51"/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4783"/>
    <w:rPr>
      <w:color w:val="605E5C"/>
      <w:shd w:val="clear" w:color="auto" w:fill="E1DFDD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table" w:styleId="TableGrid">
    <w:name w:val="Table Grid"/>
    <w:basedOn w:val="TableNormal"/>
    <w:uiPriority w:val="39"/>
    <w:rsid w:val="0031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undationyears.org.uk/2021/09/food-safety-advice-on-choking-hazards-in-setting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-for-early-years-providers.education.gov.uk/health-and-wellbeing/food-safe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4thstaffordscouts.org.uk/compliance/safety-procedur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dc:description/>
  <cp:lastModifiedBy>Alex Windows</cp:lastModifiedBy>
  <cp:revision>6</cp:revision>
  <dcterms:created xsi:type="dcterms:W3CDTF">2026-01-18T17:15:00Z</dcterms:created>
  <dcterms:modified xsi:type="dcterms:W3CDTF">2026-03-21T16:21:00Z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49872578-3df5-4c47-9918-4a6822c7770f</vt:lpwstr>
  </property>
</Properties>
</file>